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17" w:rsidRDefault="00E93FEB" w:rsidP="00E93FEB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93FEB">
        <w:rPr>
          <w:rFonts w:ascii="黑体" w:eastAsia="黑体" w:hAnsi="黑体" w:hint="eastAsia"/>
          <w:sz w:val="32"/>
          <w:szCs w:val="32"/>
        </w:rPr>
        <w:t>附件1</w:t>
      </w:r>
    </w:p>
    <w:p w:rsidR="00E93FEB" w:rsidRDefault="00E93FEB" w:rsidP="00E93FEB">
      <w:pPr>
        <w:shd w:val="solid" w:color="FFFFFF" w:fill="auto"/>
        <w:autoSpaceDN w:val="0"/>
        <w:spacing w:line="560" w:lineRule="exact"/>
        <w:jc w:val="center"/>
        <w:rPr>
          <w:rFonts w:eastAsia="公文小标宋简"/>
          <w:sz w:val="44"/>
          <w:szCs w:val="44"/>
          <w:shd w:val="clear" w:color="auto" w:fill="FFFFFF"/>
        </w:rPr>
      </w:pPr>
      <w:r>
        <w:rPr>
          <w:rFonts w:eastAsia="公文小标宋简"/>
          <w:sz w:val="44"/>
          <w:szCs w:val="44"/>
          <w:shd w:val="clear" w:color="auto" w:fill="FFFFFF"/>
        </w:rPr>
        <w:t>关于印发公安机关录用人民警察体能</w:t>
      </w:r>
    </w:p>
    <w:p w:rsidR="00E93FEB" w:rsidRDefault="00E93FEB" w:rsidP="00E93FEB">
      <w:pPr>
        <w:spacing w:line="600" w:lineRule="exact"/>
        <w:jc w:val="center"/>
        <w:rPr>
          <w:rFonts w:eastAsia="公文小标宋简"/>
          <w:sz w:val="44"/>
          <w:szCs w:val="44"/>
          <w:shd w:val="clear" w:color="auto" w:fill="FFFFFF"/>
        </w:rPr>
      </w:pPr>
      <w:r>
        <w:rPr>
          <w:rFonts w:eastAsia="公文小标宋简"/>
          <w:sz w:val="44"/>
          <w:szCs w:val="44"/>
          <w:shd w:val="clear" w:color="auto" w:fill="FFFFFF"/>
        </w:rPr>
        <w:t>测评项目和标准（暂行）的通知</w:t>
      </w:r>
    </w:p>
    <w:p w:rsidR="00E93FEB" w:rsidRPr="00E93FEB" w:rsidRDefault="00E93FEB" w:rsidP="00E93FEB">
      <w:pPr>
        <w:widowControl/>
        <w:shd w:val="solid" w:color="FFFFFF" w:fill="auto"/>
        <w:autoSpaceDN w:val="0"/>
        <w:spacing w:line="560" w:lineRule="exact"/>
        <w:jc w:val="center"/>
        <w:rPr>
          <w:rFonts w:ascii="楷体" w:eastAsia="楷体" w:hAnsi="楷体"/>
          <w:color w:val="000000"/>
          <w:kern w:val="0"/>
          <w:sz w:val="32"/>
          <w:szCs w:val="32"/>
          <w:shd w:val="clear" w:color="auto" w:fill="FFFFFF"/>
        </w:rPr>
      </w:pPr>
      <w:r w:rsidRPr="00E93FEB">
        <w:rPr>
          <w:rFonts w:ascii="楷体" w:eastAsia="楷体" w:hAnsi="楷体"/>
          <w:color w:val="000000"/>
          <w:kern w:val="0"/>
          <w:sz w:val="32"/>
          <w:szCs w:val="32"/>
          <w:shd w:val="clear" w:color="auto" w:fill="FFFFFF"/>
        </w:rPr>
        <w:t>人社部发【2011】48号</w:t>
      </w:r>
    </w:p>
    <w:p w:rsidR="00E93FEB" w:rsidRDefault="00E93FEB" w:rsidP="00E93FEB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各省、自治区、直辖市人力资源和社会保障厅（局）、公务员局、公安厅（局），新疆生产建设兵团人事局、公安局：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2001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月，原人事部、公安部印发的《公安机关录用人民警察体能测评项目和标准》（人发【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2001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】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74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号）施行以来，对选拔高素质的公安民警，提高公安队伍战斗力起到了重要促进作用。为适应新形势下公安工作和公安队伍建设的实际需要，使公安机关招警体能测评更具有针对性和可操作性，在广泛征求意见的基础上，人力资源社会保障部、公安部、国家公务员局研究制定了《公安机关录用人民警察体能测评项目和标准（暂行）》，现印发给你们，请遵照执行。执行过程中，凡其中一项不达标的，视为体能测评不合格。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2001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年原人事部、公安部下发的《公安机关录用人民警察体能测评项目和标准》同时废止。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="630"/>
        <w:jc w:val="left"/>
        <w:rPr>
          <w:rFonts w:eastAsia="仿宋_GB2312"/>
          <w:sz w:val="32"/>
          <w:szCs w:val="32"/>
          <w:shd w:val="clear" w:color="auto" w:fill="FFFFFF"/>
        </w:rPr>
      </w:pPr>
    </w:p>
    <w:p w:rsidR="00E93FEB" w:rsidRPr="004F5081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：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1.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公安机关录用人民警察体能测评项目和标准（暂行）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2.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公安机关录用人民警察体能测评实施规则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lastRenderedPageBreak/>
        <w:t xml:space="preserve"> 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人力资源和社会保障部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公安部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国家公务员局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二</w:t>
      </w:r>
      <w:r>
        <w:rPr>
          <w:color w:val="000000"/>
          <w:kern w:val="0"/>
          <w:sz w:val="32"/>
          <w:szCs w:val="32"/>
          <w:shd w:val="clear" w:color="auto" w:fill="FFFFFF"/>
        </w:rPr>
        <w:t>〇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一一年四月二十一日</w:t>
      </w:r>
    </w:p>
    <w:p w:rsidR="00E93FEB" w:rsidRDefault="00E93FE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48"/>
      </w:tblGrid>
      <w:tr w:rsidR="00E93FEB" w:rsidTr="00444A35">
        <w:trPr>
          <w:jc w:val="center"/>
        </w:trPr>
        <w:tc>
          <w:tcPr>
            <w:tcW w:w="8648" w:type="dxa"/>
            <w:shd w:val="solid" w:color="FFFFFF" w:fill="auto"/>
          </w:tcPr>
          <w:p w:rsidR="00E93FEB" w:rsidRPr="00E35088" w:rsidRDefault="00E93FEB" w:rsidP="00E35088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E35088">
              <w:rPr>
                <w:rFonts w:ascii="黑体" w:eastAsia="黑体" w:hAnsi="黑体"/>
                <w:sz w:val="32"/>
                <w:szCs w:val="32"/>
              </w:rPr>
              <w:lastRenderedPageBreak/>
              <w:t>附件1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eastAsia="黑体"/>
                <w:color w:val="3F3F3F"/>
                <w:kern w:val="0"/>
                <w:sz w:val="36"/>
                <w:shd w:val="clear" w:color="auto" w:fill="FFFFFF"/>
              </w:rPr>
            </w:pPr>
            <w:r>
              <w:rPr>
                <w:rFonts w:eastAsia="黑体"/>
                <w:color w:val="3F3F3F"/>
                <w:kern w:val="0"/>
                <w:sz w:val="36"/>
                <w:shd w:val="clear" w:color="auto" w:fill="FFFFFF"/>
              </w:rPr>
              <w:t xml:space="preserve"> 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sz w:val="18"/>
                <w:shd w:val="clear" w:color="auto" w:fill="FFFFFF"/>
              </w:rPr>
            </w:pPr>
            <w:r>
              <w:rPr>
                <w:rFonts w:hAnsi="宋体"/>
                <w:b/>
                <w:color w:val="3F3F3F"/>
                <w:kern w:val="0"/>
                <w:sz w:val="36"/>
                <w:shd w:val="clear" w:color="auto" w:fill="FFFFFF"/>
              </w:rPr>
              <w:t>公安机关录用人民警察体能测评项目和标准（暂行</w:t>
            </w:r>
            <w:r>
              <w:rPr>
                <w:rFonts w:hAnsi="宋体"/>
                <w:color w:val="3F3F3F"/>
                <w:kern w:val="0"/>
                <w:sz w:val="36"/>
                <w:shd w:val="clear" w:color="auto" w:fill="FFFFFF"/>
              </w:rPr>
              <w:t>）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黑体"/>
                <w:color w:val="3F3F3F"/>
                <w:kern w:val="0"/>
                <w:sz w:val="28"/>
                <w:shd w:val="clear" w:color="auto" w:fill="FFFFFF"/>
              </w:rPr>
              <w:t xml:space="preserve"> </w:t>
            </w:r>
          </w:p>
          <w:p w:rsidR="00E93FEB" w:rsidRDefault="00E93FEB" w:rsidP="00114E5A">
            <w:pPr>
              <w:widowControl/>
              <w:shd w:val="solid" w:color="FFFFFF" w:fill="auto"/>
              <w:autoSpaceDN w:val="0"/>
              <w:spacing w:line="560" w:lineRule="exact"/>
              <w:ind w:firstLineChars="100" w:firstLine="240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黑体" w:hAnsi="黑体"/>
                <w:color w:val="3F3F3F"/>
                <w:kern w:val="0"/>
                <w:sz w:val="24"/>
                <w:shd w:val="clear" w:color="auto" w:fill="FFFFFF"/>
              </w:rPr>
              <w:t>（一）男子组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53"/>
              <w:gridCol w:w="1592"/>
              <w:gridCol w:w="5603"/>
            </w:tblGrid>
            <w:tr w:rsidR="00E93FEB" w:rsidTr="00444A35">
              <w:tc>
                <w:tcPr>
                  <w:tcW w:w="14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noProof/>
                      <w:color w:val="3F3F3F"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5375275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0" cy="2514600"/>
                            <wp:effectExtent l="12700" t="11430" r="6350" b="7620"/>
                            <wp:wrapNone/>
                            <wp:docPr id="2" name="直接箭头连接符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514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182B4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接箭头连接符 2" o:spid="_x0000_s1026" type="#_x0000_t32" style="position:absolute;left:0;text-align:left;margin-left:423.25pt;margin-top:.9pt;width:0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"/>
                        </w:pict>
                      </mc:Fallback>
                    </mc:AlternateConten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项目</w:t>
                  </w:r>
                </w:p>
              </w:tc>
              <w:tc>
                <w:tcPr>
                  <w:tcW w:w="7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标准</w:t>
                  </w:r>
                </w:p>
              </w:tc>
            </w:tr>
            <w:tr w:rsidR="00E93FEB" w:rsidTr="00444A35">
              <w:tc>
                <w:tcPr>
                  <w:tcW w:w="14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spacing w:line="560" w:lineRule="exact"/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岁（含）以下</w:t>
                  </w: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31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岁（含）以上</w:t>
                  </w:r>
                </w:p>
              </w:tc>
            </w:tr>
            <w:tr w:rsidR="00E93FEB" w:rsidTr="00444A35"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×4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往返跑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13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13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</w:p>
              </w:tc>
            </w:tr>
            <w:tr w:rsidR="00E93FEB" w:rsidTr="00444A35"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1000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米跑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25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35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</w:tr>
            <w:tr w:rsidR="00E93FEB" w:rsidTr="00444A35"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纵跳摸高</w:t>
                  </w:r>
                </w:p>
              </w:tc>
              <w:tc>
                <w:tcPr>
                  <w:tcW w:w="7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≥265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</w:tbl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ind w:firstLineChars="100" w:firstLine="280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黑体"/>
                <w:color w:val="3F3F3F"/>
                <w:kern w:val="0"/>
                <w:sz w:val="28"/>
                <w:shd w:val="clear" w:color="auto" w:fill="FFFFFF"/>
              </w:rPr>
              <w:t xml:space="preserve"> 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ind w:firstLineChars="100" w:firstLine="240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黑体" w:hAnsi="黑体"/>
                <w:color w:val="3F3F3F"/>
                <w:kern w:val="0"/>
                <w:sz w:val="24"/>
                <w:shd w:val="clear" w:color="auto" w:fill="FFFFFF"/>
              </w:rPr>
              <w:t>（二）女子组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0"/>
              <w:gridCol w:w="2841"/>
              <w:gridCol w:w="2967"/>
            </w:tblGrid>
            <w:tr w:rsidR="00E93FEB" w:rsidTr="00444A35">
              <w:tc>
                <w:tcPr>
                  <w:tcW w:w="2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noProof/>
                      <w:color w:val="3F3F3F"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5375275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0" cy="1809750"/>
                            <wp:effectExtent l="12700" t="6350" r="6350" b="12700"/>
                            <wp:wrapNone/>
                            <wp:docPr id="1" name="直接箭头连接符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0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2E3CFF" id="直接箭头连接符 1" o:spid="_x0000_s1026" type="#_x0000_t32" style="position:absolute;left:0;text-align:left;margin-left:423.25pt;margin-top:-1pt;width:0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"/>
                        </w:pict>
                      </mc:Fallback>
                    </mc:AlternateConten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项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 xml:space="preserve"> 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目</w:t>
                  </w:r>
                </w:p>
              </w:tc>
              <w:tc>
                <w:tcPr>
                  <w:tcW w:w="58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标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 xml:space="preserve"> 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准</w:t>
                  </w:r>
                </w:p>
              </w:tc>
            </w:tr>
            <w:tr w:rsidR="00E93FEB" w:rsidTr="00444A35">
              <w:tc>
                <w:tcPr>
                  <w:tcW w:w="2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spacing w:line="560" w:lineRule="exact"/>
                  </w:pP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岁（含）以下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31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岁（含）以上</w:t>
                  </w:r>
                </w:p>
              </w:tc>
            </w:tr>
            <w:tr w:rsidR="00E93FEB" w:rsidTr="00444A35">
              <w:tc>
                <w:tcPr>
                  <w:tcW w:w="2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X4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往返跑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</w:p>
              </w:tc>
            </w:tr>
            <w:tr w:rsidR="00E93FEB" w:rsidTr="00444A35">
              <w:tc>
                <w:tcPr>
                  <w:tcW w:w="2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800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米跑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20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30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</w:tr>
            <w:tr w:rsidR="00E93FEB" w:rsidTr="00444A35">
              <w:tc>
                <w:tcPr>
                  <w:tcW w:w="2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纵跳摸高</w:t>
                  </w:r>
                </w:p>
              </w:tc>
              <w:tc>
                <w:tcPr>
                  <w:tcW w:w="58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≥230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</w:tbl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sz w:val="18"/>
                <w:shd w:val="clear" w:color="auto" w:fill="FFFFFF"/>
              </w:rPr>
            </w:pPr>
            <w:r>
              <w:rPr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color w:val="3F3F3F"/>
                <w:kern w:val="0"/>
                <w:sz w:val="28"/>
                <w:shd w:val="clear" w:color="auto" w:fill="FFFFFF"/>
              </w:rPr>
            </w:pPr>
          </w:p>
          <w:p w:rsidR="00E93FEB" w:rsidRPr="00E35088" w:rsidRDefault="00E93FEB" w:rsidP="00E35088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E35088">
              <w:rPr>
                <w:rFonts w:ascii="黑体" w:eastAsia="黑体" w:hAnsi="黑体"/>
                <w:sz w:val="32"/>
                <w:szCs w:val="32"/>
              </w:rPr>
              <w:lastRenderedPageBreak/>
              <w:t>附件2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color w:val="3F3F3F"/>
                <w:kern w:val="0"/>
                <w:sz w:val="44"/>
                <w:shd w:val="clear" w:color="auto" w:fill="FFFFFF"/>
              </w:rPr>
              <w:t xml:space="preserve"> 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hAnsi="宋体"/>
                <w:b/>
                <w:color w:val="3F3F3F"/>
                <w:kern w:val="0"/>
                <w:sz w:val="44"/>
                <w:shd w:val="clear" w:color="auto" w:fill="FFFFFF"/>
              </w:rPr>
              <w:t>公安机关录用人民警察体能测评实施规则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仿宋_GB2312"/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 w:rsidR="00E93FEB" w:rsidRPr="00487044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487044"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  <w:t>一、10米×4往返跑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场地器材：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10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米长的直线跑道若干，在跑道的两端线（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和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）外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30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厘米处各划一条线（图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）。木块（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5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厘米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×10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厘米）每道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3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块，其中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块放在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线外的横线上，一块放在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线外的横线上。秒表若干块，使用前应进行校正。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测试方法：受测试者用站立式起跑，听到发令后从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线外起跑，当跑到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线前面，用一只手拿起一木块随即往回跑，跑到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线前时交换木块，再跑回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交换另一木块，最后持木块冲出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线，记录跑完全程的时间。记录以秒为单位，取一位小数，第二位小数非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“0”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时则进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。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注意事项：当受测者取放木块时，脚不要越过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和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线。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80"/>
              <w:gridCol w:w="2140"/>
              <w:gridCol w:w="996"/>
            </w:tblGrid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4"/>
                    </w:rPr>
                    <w:t>S1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6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4"/>
                    </w:rPr>
                    <w:t xml:space="preserve">  S2</w:t>
                  </w:r>
                </w:p>
              </w:tc>
            </w:tr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6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6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6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6" w:type="dxa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rPr>
                      <w:sz w:val="18"/>
                    </w:rPr>
                  </w:pPr>
                  <w:r>
                    <w:rPr>
                      <w:rFonts w:eastAsia="仿宋_GB2312"/>
                      <w:color w:val="3F3F3F"/>
                      <w:kern w:val="0"/>
                      <w:sz w:val="24"/>
                    </w:rPr>
                    <w:t>←→</w:t>
                  </w:r>
                </w:p>
              </w:tc>
            </w:tr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/>
                      <w:color w:val="3F3F3F"/>
                      <w:kern w:val="0"/>
                      <w:sz w:val="20"/>
                    </w:rPr>
                    <w:t xml:space="preserve">    ←  10</w:t>
                  </w:r>
                  <w:r>
                    <w:rPr>
                      <w:rFonts w:eastAsia="仿宋_GB2312" w:hAnsi="仿宋_GB2312"/>
                      <w:color w:val="3F3F3F"/>
                      <w:kern w:val="0"/>
                      <w:sz w:val="20"/>
                    </w:rPr>
                    <w:t>米</w:t>
                  </w:r>
                  <w:r>
                    <w:rPr>
                      <w:rFonts w:eastAsia="仿宋_GB2312"/>
                      <w:color w:val="3F3F3F"/>
                      <w:kern w:val="0"/>
                      <w:sz w:val="20"/>
                    </w:rPr>
                    <w:t xml:space="preserve"> →</w:t>
                  </w:r>
                </w:p>
              </w:tc>
              <w:tc>
                <w:tcPr>
                  <w:tcW w:w="996" w:type="dxa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0"/>
                    </w:rPr>
                    <w:t>30</w:t>
                  </w:r>
                  <w:r>
                    <w:rPr>
                      <w:rFonts w:eastAsia="仿宋_GB2312" w:hAnsi="仿宋_GB2312"/>
                      <w:color w:val="3F3F3F"/>
                      <w:kern w:val="0"/>
                      <w:sz w:val="20"/>
                    </w:rPr>
                    <w:t>厘米</w:t>
                  </w:r>
                </w:p>
              </w:tc>
            </w:tr>
          </w:tbl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480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eastAsia="黑体" w:hAnsi="黑体"/>
                <w:color w:val="3F3F3F"/>
                <w:kern w:val="0"/>
                <w:sz w:val="24"/>
                <w:shd w:val="clear" w:color="auto" w:fill="FFFFFF"/>
              </w:rPr>
              <w:t>图</w:t>
            </w:r>
            <w:r>
              <w:rPr>
                <w:color w:val="3F3F3F"/>
                <w:kern w:val="0"/>
                <w:sz w:val="24"/>
                <w:shd w:val="clear" w:color="auto" w:fill="FFFFFF"/>
              </w:rPr>
              <w:t>1</w:t>
            </w:r>
          </w:p>
          <w:p w:rsidR="00E93FEB" w:rsidRPr="00487044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487044"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  <w:lastRenderedPageBreak/>
              <w:t>二、男子1000米跑、女子800米跑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场地器材：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400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米田径跑道。地面平坦，地质不限。秒表若干块，使用前应进行校正。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测试方法：受测者分组测，每组不得少于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人，用站立式起跑。当听到口令或哨音后开始起跑。当受测者到达终点时停表，终点记录员负责登记每人成绩，登记成绩以分、秒为单位，不计小数。</w:t>
            </w:r>
          </w:p>
          <w:p w:rsidR="00E93FEB" w:rsidRPr="00487044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487044"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  <w:t>三、纵跳摸高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场地要求：通常在室内场地测试。如选择室外场地测试，需在天气状况许可的情况下进行，当天平均气温应在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15~35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摄氏度之间，无太阳直射、风力不超过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3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级。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      </w:r>
          </w:p>
          <w:p w:rsidR="00E93FEB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sz w:val="18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注意事项：（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）起跳时，受测者双腿不能移动或有垫步动作；（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）受测者指甲不得超过指尖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0.3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厘米；（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3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）受测者徒手触摸，不得带手套等其他物品；（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4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）受测者统一采用赤脚（可穿袜子）起跳，起跳处铺垫不超过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厘米的硬质无弹性垫子。</w:t>
            </w:r>
          </w:p>
        </w:tc>
      </w:tr>
    </w:tbl>
    <w:p w:rsidR="00E93FEB" w:rsidRPr="00E93FEB" w:rsidRDefault="00E93FEB" w:rsidP="00E35088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E93FEB" w:rsidRPr="00E93FEB" w:rsidSect="00E93FE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EB"/>
    <w:rsid w:val="00064C17"/>
    <w:rsid w:val="00114E5A"/>
    <w:rsid w:val="00487044"/>
    <w:rsid w:val="004D7A65"/>
    <w:rsid w:val="00680029"/>
    <w:rsid w:val="00A07EAE"/>
    <w:rsid w:val="00E35088"/>
    <w:rsid w:val="00E65139"/>
    <w:rsid w:val="00E93FEB"/>
    <w:rsid w:val="00F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6449E7-81C2-4699-819C-B4CBDBBB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whysx</dc:creator>
  <cp:lastModifiedBy>Windows 用户</cp:lastModifiedBy>
  <cp:revision>2</cp:revision>
  <cp:lastPrinted>2021-06-03T03:11:00Z</cp:lastPrinted>
  <dcterms:created xsi:type="dcterms:W3CDTF">2021-06-03T10:33:00Z</dcterms:created>
  <dcterms:modified xsi:type="dcterms:W3CDTF">2021-06-03T10:33:00Z</dcterms:modified>
</cp:coreProperties>
</file>