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新洲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区</w:t>
      </w:r>
      <w:r>
        <w:rPr>
          <w:rFonts w:ascii="Times New Roman" w:hAnsi="Times New Roman" w:eastAsia="方正小标宋简体" w:cs="Times New Roman"/>
          <w:sz w:val="44"/>
          <w:szCs w:val="44"/>
        </w:rPr>
        <w:t>2019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年公开招聘村“两委”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干部助理岗位公告</w:t>
      </w:r>
    </w:p>
    <w:p>
      <w:pPr>
        <w:spacing w:line="500" w:lineRule="exact"/>
        <w:ind w:firstLine="616" w:firstLineChars="200"/>
        <w:jc w:val="left"/>
        <w:rPr>
          <w:rFonts w:ascii="仿宋_GB2312" w:eastAsia="仿宋_GB2312" w:cs="仿宋_GB2312"/>
          <w:spacing w:val="-6"/>
          <w:sz w:val="32"/>
          <w:szCs w:val="32"/>
        </w:rPr>
      </w:pPr>
      <w:r>
        <w:rPr>
          <w:rFonts w:ascii="仿宋_GB2312" w:eastAsia="仿宋_GB2312" w:cs="仿宋_GB2312"/>
          <w:spacing w:val="-6"/>
          <w:sz w:val="32"/>
          <w:szCs w:val="32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根据市委组织部《村“两委”后备干部培养计划实施方案》（武组通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[2019]69号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）文件要求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我区现面向社会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公开选聘一批优秀大学毕业生作为村干部助理协助村“两委”工作。现将有关情况公告如下：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一、招聘岗位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黑体" w:cs="黑体"/>
          <w:sz w:val="32"/>
          <w:szCs w:val="32"/>
        </w:rPr>
        <w:t>人数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新洲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区招聘村干部助理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调配在全区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88个建档立卡贫困村和10个乡村振兴示范带覆盖村，共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仓埠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李集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凤凰镇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三店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潘塘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1905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徐古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1906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旧街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1907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道观河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辛冲街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名（岗位代码</w:t>
      </w:r>
      <w:r>
        <w:rPr>
          <w:rFonts w:ascii="Times New Roman" w:hAnsi="Times New Roman" w:eastAsia="仿宋_GB2312" w:cs="Times New Roman"/>
          <w:sz w:val="32"/>
          <w:szCs w:val="32"/>
        </w:rPr>
        <w:t>190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二、报名资格条件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、思想政治素质好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组织纪律观念强；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、志愿在农村基层工作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具有较强吃苦精神</w:t>
      </w:r>
      <w:r>
        <w:rPr>
          <w:rFonts w:ascii="Times New Roman" w:hAnsi="Times New Roman" w:eastAsia="仿宋_GB2312" w:cs="Times New Roman"/>
          <w:sz w:val="32"/>
          <w:szCs w:val="32"/>
        </w:rPr>
        <w:t>;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、具有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</w:rPr>
        <w:t>全日制大学专科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以上学历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u w:val="single"/>
          <w:lang w:eastAsia="zh-CN"/>
        </w:rPr>
        <w:t>必须于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u w:val="single"/>
          <w:lang w:val="en-US" w:eastAsia="zh-CN"/>
        </w:rPr>
        <w:t>2019年7月31日前取得学历证书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>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、年龄</w:t>
      </w:r>
      <w:r>
        <w:rPr>
          <w:rFonts w:ascii="Times New Roman" w:hAnsi="Times New Roman" w:eastAsia="仿宋_GB2312" w:cs="Times New Roman"/>
          <w:sz w:val="32"/>
          <w:szCs w:val="32"/>
        </w:rPr>
        <w:t>35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周岁以下（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</w:rPr>
        <w:t>1984年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</w:rPr>
        <w:t>月1日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及以后出生）；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、身心健康，具备选聘岗位履职所需身体条件；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、遵纪守法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无违法犯罪记录；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</w:rPr>
        <w:t>户籍在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eastAsia="zh-CN"/>
        </w:rPr>
        <w:t>新洲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</w:rPr>
        <w:t>区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>新洲区户籍配偶、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原户籍在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新洲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区但因求学将户籍转至就读高校所在地的应往届大学毕业生；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以上条件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的村后备干部优先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有下列情况之一的人员，不受理应聘：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、受到党纪、政纪处分或刑事处罚，</w:t>
      </w:r>
      <w:r>
        <w:rPr>
          <w:rFonts w:hint="eastAsia" w:ascii="Times New Roman" w:hAnsi="Times New Roman" w:eastAsia="仿宋_GB2312" w:cs="仿宋_GB2312"/>
          <w:color w:val="0000FF"/>
          <w:sz w:val="32"/>
          <w:szCs w:val="32"/>
          <w:u w:val="single"/>
          <w:lang w:eastAsia="zh-CN"/>
        </w:rPr>
        <w:t>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正在处分（罚）期间的</w:t>
      </w:r>
      <w:r>
        <w:rPr>
          <w:rFonts w:ascii="Times New Roman" w:hAnsi="Times New Roman" w:eastAsia="仿宋_GB2312" w:cs="Times New Roman"/>
          <w:sz w:val="32"/>
          <w:szCs w:val="32"/>
        </w:rPr>
        <w:t>;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、正在接受纪律审查、司法调查或者审计的</w:t>
      </w:r>
      <w:r>
        <w:rPr>
          <w:rFonts w:ascii="Times New Roman" w:hAnsi="Times New Roman" w:eastAsia="仿宋_GB2312" w:cs="Times New Roman"/>
          <w:sz w:val="32"/>
          <w:szCs w:val="32"/>
        </w:rPr>
        <w:t>;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、曾因犯罪受过刑事处罚或者曾被开除公职</w:t>
      </w:r>
      <w:r>
        <w:rPr>
          <w:rFonts w:ascii="Times New Roman" w:hAnsi="Times New Roman" w:eastAsia="仿宋_GB2312" w:cs="Times New Roman"/>
          <w:sz w:val="32"/>
          <w:szCs w:val="32"/>
        </w:rPr>
        <w:t>;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、现役军人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大学生</w:t>
      </w:r>
      <w:r>
        <w:rPr>
          <w:rFonts w:hint="eastAsia" w:ascii="仿宋" w:hAnsi="仿宋" w:eastAsia="仿宋" w:cs="仿宋"/>
          <w:kern w:val="0"/>
          <w:sz w:val="32"/>
          <w:szCs w:val="32"/>
        </w:rPr>
        <w:t>村官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、“三支一扶”等未满最低服务年限的；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、原工作（聘用）单位不同意报考的</w:t>
      </w:r>
      <w:r>
        <w:rPr>
          <w:rFonts w:ascii="Times New Roman" w:hAnsi="Times New Roman" w:eastAsia="仿宋_GB2312" w:cs="Times New Roman"/>
          <w:sz w:val="32"/>
          <w:szCs w:val="32"/>
        </w:rPr>
        <w:t>;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、法律、法规、规章及政策规定可不受理应聘的。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三、报名事项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hint="eastAsia"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（</w:t>
      </w:r>
      <w:r>
        <w:rPr>
          <w:rFonts w:hint="eastAsia" w:ascii="楷体" w:hAnsi="楷体" w:eastAsia="楷体"/>
          <w:bCs/>
          <w:sz w:val="30"/>
          <w:szCs w:val="30"/>
          <w:lang w:eastAsia="zh-CN"/>
        </w:rPr>
        <w:t>一</w:t>
      </w:r>
      <w:r>
        <w:rPr>
          <w:rFonts w:hint="eastAsia" w:ascii="楷体" w:hAnsi="楷体" w:eastAsia="楷体"/>
          <w:bCs/>
          <w:sz w:val="30"/>
          <w:szCs w:val="30"/>
        </w:rPr>
        <w:t>）网上报名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1.提交应聘申请。应聘人员于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（星期五）上午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9：00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起</w:t>
      </w:r>
      <w:r>
        <w:rPr>
          <w:rFonts w:hint="eastAsia" w:ascii="Times New Roman" w:hAnsi="Times New Roman" w:eastAsia="仿宋_GB2312" w:cs="仿宋_GB2312"/>
          <w:sz w:val="32"/>
          <w:szCs w:val="32"/>
        </w:rPr>
        <w:t>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（星期四）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中午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：00登录武汉掌上人才网（www.whzsrc.com）首页的“招聘·考试”页面，点击“网上报名”，选择相应公告，提交应聘申请（含上传照片，此后所用照片要求一致，未上传照片或上传照片不符合要求将不能通过审核）。应聘人员只能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>选择一个岗位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报名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提交信息必须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>真实、准确、完整、有效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凡弄虚作假者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>取消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应聘资格。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2.查询网上审查结果。应聘人员于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6（星期五）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中午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12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（星期四）下午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17: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00登录武汉掌上人才网查询网上审查结果。通过网上审查后，不能再改报其他岗位。应聘申请未通过的，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（星期四）中午</w:t>
      </w:r>
      <w:r>
        <w:rPr>
          <w:rFonts w:hint="eastAsia" w:ascii="Times New Roman" w:hAnsi="Times New Roman" w:eastAsia="仿宋_GB2312" w:cs="仿宋_GB2312"/>
          <w:sz w:val="32"/>
          <w:szCs w:val="32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00以前，可改报其他岗位。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（</w:t>
      </w:r>
      <w:r>
        <w:rPr>
          <w:rFonts w:hint="eastAsia" w:ascii="楷体" w:hAnsi="楷体" w:eastAsia="楷体"/>
          <w:bCs/>
          <w:sz w:val="30"/>
          <w:szCs w:val="30"/>
          <w:lang w:eastAsia="zh-CN"/>
        </w:rPr>
        <w:t>二</w:t>
      </w:r>
      <w:r>
        <w:rPr>
          <w:rFonts w:hint="eastAsia" w:ascii="楷体" w:hAnsi="楷体" w:eastAsia="楷体"/>
          <w:bCs/>
          <w:sz w:val="30"/>
          <w:szCs w:val="30"/>
        </w:rPr>
        <w:t>）网上缴费确认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通过网上报名审核的应聘人员应在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16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（星期一）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上午9：00至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17：00之间，登陆武汉掌上人才的“在线缴费”窗口，选择本人报考岗位缴纳报名费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（每人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50元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，以确认报名成功。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17：00以后缴费的无效，缴费时间以系统显示的到账时间为准，到账有时差，请务必及时缴费，未缴费或不按要求缴费的人员视为</w:t>
      </w:r>
      <w:r>
        <w:rPr>
          <w:rFonts w:hint="eastAsia" w:ascii="楷体" w:hAnsi="楷体" w:eastAsia="楷体" w:cs="楷体"/>
          <w:sz w:val="32"/>
          <w:szCs w:val="32"/>
          <w:highlight w:val="none"/>
          <w:u w:val="single"/>
        </w:rPr>
        <w:t>自动</w:t>
      </w:r>
      <w:r>
        <w:rPr>
          <w:rFonts w:hint="eastAsia" w:ascii="楷体" w:hAnsi="楷体" w:eastAsia="楷体" w:cs="楷体"/>
          <w:sz w:val="32"/>
          <w:szCs w:val="32"/>
          <w:highlight w:val="none"/>
          <w:u w:val="single"/>
          <w:lang w:eastAsia="zh-CN"/>
        </w:rPr>
        <w:t>放弃笔试资格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，不作笔试安排。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hint="eastAsia"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（</w:t>
      </w:r>
      <w:r>
        <w:rPr>
          <w:rFonts w:hint="eastAsia" w:ascii="楷体" w:hAnsi="楷体" w:eastAsia="楷体"/>
          <w:bCs/>
          <w:sz w:val="30"/>
          <w:szCs w:val="30"/>
          <w:lang w:eastAsia="zh-CN"/>
        </w:rPr>
        <w:t>三</w:t>
      </w:r>
      <w:r>
        <w:rPr>
          <w:rFonts w:hint="eastAsia" w:ascii="楷体" w:hAnsi="楷体" w:eastAsia="楷体"/>
          <w:bCs/>
          <w:sz w:val="30"/>
          <w:szCs w:val="30"/>
        </w:rPr>
        <w:t>）网上打印准考证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u w:val="single"/>
        </w:rPr>
        <w:t>缴费完成后，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应聘人员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18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（星期三）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上午9：00至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（星期五）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17：00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</w:rPr>
        <w:t>登录武汉掌上人才网下载并打印笔试准考证（A4纸张黑白打印即可）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本次招聘笔试、面试使用同一准考证。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温馨提示：如考生发现下载打印的准考证信息有误或不能下载打印准考证的，请于工作时间内咨询工作人员予以更正，其他时间不予受理，未在规定时间内反馈的人员视为自动放弃。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四、笔试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笔试内容为公共基础、党建相关知识等，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采取闭卷形式，满分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分。笔试具体时间、地点等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</w:rPr>
        <w:t>另行通知，请考生保持通讯畅通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、考生需本人携带二代身份证、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u w:val="single"/>
          <w:lang w:eastAsia="zh-CN"/>
        </w:rPr>
        <w:t>笔试准考证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参加笔试考试，未在规定时间及地点参加考试的考生视为放弃。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3、笔试成绩查询。笔试结束后三个工作日内，考生可凭姓名，身份证号，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登录武汉掌上人才网（www.whzsrc.com）首页的“招聘·考试”页面，点击“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成绩查询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查询笔考试成绩。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黑体" w:cs="黑体"/>
          <w:sz w:val="32"/>
          <w:szCs w:val="32"/>
        </w:rPr>
        <w:t>资格复审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根据笔试成绩从高分到低分排序，按岗位招聘人数与参考人数1: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比例确定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复审人员。应聘人员须携带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以下资料参加资格复审。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、二代身份证原件及复印件；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、全日制大学专科</w:t>
      </w:r>
      <w:r>
        <w:rPr>
          <w:rFonts w:hint="eastAsia" w:ascii="Times New Roman" w:hAnsi="Times New Roman" w:eastAsia="仿宋_GB2312" w:cs="仿宋_GB2312"/>
          <w:color w:val="0000FF"/>
          <w:sz w:val="32"/>
          <w:szCs w:val="32"/>
        </w:rPr>
        <w:t>或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以上毕业证（原件及复印件）；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、《教育部学籍在线验证报告》（在读应届生）；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、《教育部学历证书电子注册备案表》（往届毕业生）；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、户口簿（首页、本人页、关系证明页的复印件）；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、一式两份《武汉市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新洲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区村“两委”助理岗位报名登记表》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（与网上报名时所填原表一致，凭本人姓名、身份证号</w:t>
      </w:r>
      <w:r>
        <w:rPr>
          <w:rFonts w:hint="eastAsia" w:ascii="Times New Roman" w:hAnsi="Times New Roman" w:eastAsia="仿宋_GB2312" w:cs="仿宋_GB2312"/>
          <w:sz w:val="32"/>
          <w:szCs w:val="32"/>
        </w:rPr>
        <w:t>登录武汉掌上人才网（www.whzsrc.com）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即可下载打印）。资格复审具体时间、地点另行通知，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不按照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定时间参加资格复审或应聘人员资格复审不合格的，取消面试资格。出现面试人选缺额情况的，按该岗位笔试成绩依次递补。通过资格复审的考生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即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进入面试环节。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黑体" w:cs="黑体"/>
          <w:sz w:val="32"/>
          <w:szCs w:val="32"/>
        </w:rPr>
        <w:t>、面试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面试形式为结构化面试，满分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分。主要考察口头表达能力、应急处理能力、分析和解决问题的能力、组织协调能力等。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具体时间、地点等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</w:rPr>
        <w:t>另行通知，请考生保持通讯畅通。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、综合成绩的计算。报考人员综合成绩采用百分制折算。笔试和面试成绩按</w:t>
      </w:r>
      <w:r>
        <w:rPr>
          <w:rFonts w:ascii="Times New Roman" w:hAnsi="Times New Roman" w:eastAsia="仿宋_GB2312" w:cs="Times New Roman"/>
          <w:sz w:val="32"/>
          <w:szCs w:val="32"/>
        </w:rPr>
        <w:t>4:6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的比例计入考生综合成绩。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、考生需本人携带二代身份证、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single"/>
          <w:lang w:eastAsia="zh-CN"/>
        </w:rPr>
        <w:t>笔试准考证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参加面试考试，未在规定时间及地点参加考试的考生视为放弃。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黑体" w:cs="黑体"/>
          <w:sz w:val="32"/>
          <w:szCs w:val="32"/>
        </w:rPr>
        <w:t>、考察、体检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根据综合成绩从高到低按照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比例确定考察、体检人选（体检费用自理），若存在综合成绩并列人员，则依照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eastAsia="zh-CN"/>
        </w:rPr>
        <w:t>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>试成绩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由高到低确定考察、体检人选。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考察由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镇组织办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进行，主要考察应聘人员的思想政治和平时表现情况，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有无违法犯罪等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；体检由区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人社局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指定医疗机构进行。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考察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或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体检不合格的，取消聘用资格，按综合成绩由高到低依次递补。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黑体" w:cs="黑体"/>
          <w:sz w:val="32"/>
          <w:szCs w:val="32"/>
        </w:rPr>
        <w:t>、公示及聘用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对拟聘用人员，按要求在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新洲区政府门户网站</w:t>
      </w:r>
      <w:r>
        <w:rPr>
          <w:rFonts w:hint="eastAsia" w:ascii="仿宋_GB2312" w:hAnsi="仿宋_GB2312" w:eastAsia="仿宋_GB2312" w:cs="仿宋_GB2312"/>
          <w:sz w:val="30"/>
          <w:szCs w:val="30"/>
        </w:rPr>
        <w:t>(http://www.whxinzhou.gov.cn/)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进行公示，公示时间为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个工作日。公示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无异议的，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由区委组织部统一安排到相关街镇所辖村，由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相应街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镇与选聘人员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签订劳动合同，进行统一管理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选聘村干部助理试用期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年，试用期考核合格的签订聘用合同，聘期为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年（不含试用期）。聘期内实行专职化管理，统一安排到基层村工作，负责协助处理“两委”日常工作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，未经区委组织部审批，不得抽调到上级机关和其他单位工作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选聘的村干部助理由所在街镇党工委负责组织考核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，考核不合格的予以解聘。对聘期内未当选村“两委”成员的，原则上不再续聘。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有关待遇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参照《武汉市大学毕业生在汉工作指导性最低年薪标准》，根据不同学历，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约5至6万元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（含单位缴纳社保部分）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00" w:lineRule="exact"/>
        <w:ind w:left="0" w:leftChars="0" w:firstLine="640" w:firstLineChars="200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其他事项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咨询电话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区委组织部：</w:t>
      </w:r>
      <w:r>
        <w:rPr>
          <w:rFonts w:ascii="Times New Roman" w:hAnsi="Times New Roman" w:eastAsia="仿宋_GB2312" w:cs="Times New Roman"/>
          <w:sz w:val="32"/>
          <w:szCs w:val="32"/>
        </w:rPr>
        <w:t>027-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89351286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区人社局：</w:t>
      </w:r>
      <w:r>
        <w:rPr>
          <w:rFonts w:ascii="Times New Roman" w:hAnsi="Times New Roman" w:eastAsia="仿宋_GB2312" w:cs="Times New Roman"/>
          <w:sz w:val="32"/>
          <w:szCs w:val="32"/>
        </w:rPr>
        <w:t>027-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89350683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缴费咨询电话： 027-82778255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新洲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年招聘村“两委”干部助理涉及村名单》</w:t>
      </w:r>
    </w:p>
    <w:p>
      <w:pPr>
        <w:spacing w:line="5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新洲区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0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spacing w:line="500" w:lineRule="exact"/>
        <w:rPr>
          <w:rFonts w:ascii="黑体" w:hAnsi="黑体" w:eastAsia="黑体" w:cs="Times New Roman"/>
          <w:sz w:val="36"/>
          <w:szCs w:val="36"/>
        </w:rPr>
      </w:pPr>
      <w:r>
        <w:rPr>
          <w:rFonts w:ascii="方正小标宋简体" w:hAnsi="Times New Roman" w:eastAsia="方正小标宋简体" w:cs="Times New Roman"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新洲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ascii="黑体" w:hAnsi="黑体" w:eastAsia="黑体" w:cs="黑体"/>
          <w:sz w:val="36"/>
          <w:szCs w:val="36"/>
        </w:rPr>
        <w:t>2019</w:t>
      </w:r>
      <w:r>
        <w:rPr>
          <w:rFonts w:hint="eastAsia" w:ascii="黑体" w:hAnsi="黑体" w:eastAsia="黑体" w:cs="黑体"/>
          <w:sz w:val="36"/>
          <w:szCs w:val="36"/>
        </w:rPr>
        <w:t>年招聘村“两委”干部助理涉及村名单</w:t>
      </w:r>
    </w:p>
    <w:p>
      <w:pPr>
        <w:pStyle w:val="2"/>
        <w:spacing w:before="0" w:after="0" w:line="500" w:lineRule="exact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0" w:after="0" w:line="500" w:lineRule="exact"/>
        <w:ind w:left="0" w:leftChars="0" w:firstLine="0" w:firstLineChars="0"/>
        <w:jc w:val="both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共涉及9个街镇，98个村</w:t>
      </w:r>
    </w:p>
    <w:p>
      <w:pPr>
        <w:spacing w:afterLines="50" w:line="500" w:lineRule="exact"/>
        <w:jc w:val="left"/>
        <w:rPr>
          <w:rFonts w:hint="eastAsia" w:ascii="Times New Roman" w:hAnsi="Times New Roman" w:eastAsia="宋体" w:cs="仿宋_GB2312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仓埠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25村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上店村、上岗村、陶岗村、高陈村、胡彰村、丛林村、林埠村、凉亭村、蔡教村、南湖村、前湾村、叶岗村、福临村、金岗村、盛咀村</w:t>
      </w:r>
      <w:r>
        <w:rPr>
          <w:rFonts w:hint="eastAsia" w:ascii="宋体" w:hAnsi="宋体" w:cs="宋体"/>
          <w:color w:val="000000"/>
          <w:spacing w:val="20"/>
          <w:kern w:val="0"/>
          <w:sz w:val="24"/>
          <w:lang w:eastAsia="zh-CN"/>
        </w:rPr>
        <w:t>、毕铺村、东岳村、五云村、周铺村、林岗村、丰乐村、方院村、甘庙村、靠山村、三山村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1902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李集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11村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卫星村、春光村、建群村、八屋村、建新村、何程村、团强村、刘溪村、胡田村、潮泥村、吴太村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凤凰镇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陈田村、郭岗村、毛冲村、四屋村、刘湾村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1904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三店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17村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董椿村、竹园村、宋渡村、东门村、杨岗村、李</w:t>
      </w:r>
      <w:r>
        <w:rPr>
          <w:rFonts w:hint="eastAsia" w:ascii="宋体" w:hAnsi="宋体" w:cs="宋体"/>
          <w:color w:val="000000"/>
          <w:spacing w:val="20"/>
          <w:kern w:val="0"/>
          <w:sz w:val="24"/>
          <w:lang w:eastAsia="zh-CN"/>
        </w:rPr>
        <w:t>旻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村、曹岗村、栾岗村、施阳村、长塘村、徐贵村、石河村、黄岗村、杨湾村、蔡河村、李畈村、院墙村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1905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潘塘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7村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七湾村、管寨村、汉楼村、谢畈村、姜墩村、易河村、曾岗村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1906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徐古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8村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万岗村、乌钵村、谢店村、桃花寨村、雷术村、琵琶垴村、将军山村、长岗山村</w:t>
      </w:r>
    </w:p>
    <w:p>
      <w:pPr>
        <w:spacing w:beforeLines="50" w:afterLines="50" w:line="500" w:lineRule="exact"/>
        <w:jc w:val="left"/>
        <w:rPr>
          <w:rFonts w:hint="eastAsia" w:ascii="宋体" w:hAnsi="宋体" w:cs="宋体"/>
          <w:color w:val="000000"/>
          <w:spacing w:val="20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1907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旧街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14村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新集村、曹井村、三河口村、寨岗村、熊畈村、曾畈村、狮子岩村、栗树山村、莲花塘村、戴湾村、石咀村、姚河村、旧街村、左河村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道观河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 xml:space="preserve">1村: 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汉子山村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辛冲街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10村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胡仁村、龙岗村、浏湖村、三合村、邢榨村、绿山村、高桥村、上塘村、铁河村、蔡咀村</w:t>
      </w:r>
    </w:p>
    <w:p>
      <w:pPr>
        <w:widowControl/>
        <w:wordWrap w:val="0"/>
        <w:spacing w:afterLines="50" w:line="58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2"/>
        <w:spacing w:before="0" w:after="0" w:line="24" w:lineRule="auto"/>
        <w:ind w:left="0" w:leftChars="0"/>
        <w:rPr>
          <w:rFonts w:cs="Times New Roman"/>
          <w:b w:val="0"/>
          <w:bCs w:val="0"/>
          <w:sz w:val="2"/>
          <w:szCs w:val="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06FD1"/>
    <w:multiLevelType w:val="singleLevel"/>
    <w:tmpl w:val="D2506FD1"/>
    <w:lvl w:ilvl="0" w:tentative="0">
      <w:start w:val="8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002D2"/>
    <w:rsid w:val="000A1212"/>
    <w:rsid w:val="000D3797"/>
    <w:rsid w:val="002362DB"/>
    <w:rsid w:val="002E01B8"/>
    <w:rsid w:val="002E6645"/>
    <w:rsid w:val="003A5D5E"/>
    <w:rsid w:val="003F2752"/>
    <w:rsid w:val="00401C5E"/>
    <w:rsid w:val="0042751D"/>
    <w:rsid w:val="0054297B"/>
    <w:rsid w:val="00547E15"/>
    <w:rsid w:val="005A35FB"/>
    <w:rsid w:val="005A62C3"/>
    <w:rsid w:val="00686B5B"/>
    <w:rsid w:val="006D2052"/>
    <w:rsid w:val="007024A6"/>
    <w:rsid w:val="00710A8E"/>
    <w:rsid w:val="007B6D81"/>
    <w:rsid w:val="00827148"/>
    <w:rsid w:val="00853C3D"/>
    <w:rsid w:val="008715FA"/>
    <w:rsid w:val="009021E2"/>
    <w:rsid w:val="00915CCE"/>
    <w:rsid w:val="00962DBA"/>
    <w:rsid w:val="009713C8"/>
    <w:rsid w:val="009A73C5"/>
    <w:rsid w:val="009C2F82"/>
    <w:rsid w:val="00A07B29"/>
    <w:rsid w:val="00A604DB"/>
    <w:rsid w:val="00A616DB"/>
    <w:rsid w:val="00A94762"/>
    <w:rsid w:val="00AA66FD"/>
    <w:rsid w:val="00BE3E38"/>
    <w:rsid w:val="00C13A4A"/>
    <w:rsid w:val="00D91DFF"/>
    <w:rsid w:val="00DA7297"/>
    <w:rsid w:val="00DB44A1"/>
    <w:rsid w:val="00E2409D"/>
    <w:rsid w:val="00E8585C"/>
    <w:rsid w:val="00F13882"/>
    <w:rsid w:val="00F43EAD"/>
    <w:rsid w:val="00F7593F"/>
    <w:rsid w:val="00FE282C"/>
    <w:rsid w:val="00FE7DFE"/>
    <w:rsid w:val="011914ED"/>
    <w:rsid w:val="01B41D40"/>
    <w:rsid w:val="02A3752C"/>
    <w:rsid w:val="039C69DC"/>
    <w:rsid w:val="03BF2EF5"/>
    <w:rsid w:val="04F473BB"/>
    <w:rsid w:val="0542466E"/>
    <w:rsid w:val="058B1E6D"/>
    <w:rsid w:val="05B423BF"/>
    <w:rsid w:val="0646725D"/>
    <w:rsid w:val="06FD2DFD"/>
    <w:rsid w:val="08D4338C"/>
    <w:rsid w:val="08F53CF7"/>
    <w:rsid w:val="09C1449E"/>
    <w:rsid w:val="0AC002D2"/>
    <w:rsid w:val="0AC9547A"/>
    <w:rsid w:val="0BC2045A"/>
    <w:rsid w:val="0C1762C7"/>
    <w:rsid w:val="0E575F40"/>
    <w:rsid w:val="0E67590B"/>
    <w:rsid w:val="10614CDA"/>
    <w:rsid w:val="10C7176F"/>
    <w:rsid w:val="11736176"/>
    <w:rsid w:val="11B830AE"/>
    <w:rsid w:val="11D4392D"/>
    <w:rsid w:val="138029A5"/>
    <w:rsid w:val="13B02844"/>
    <w:rsid w:val="140B0944"/>
    <w:rsid w:val="14CF0FF3"/>
    <w:rsid w:val="159B0AED"/>
    <w:rsid w:val="15D82379"/>
    <w:rsid w:val="17845896"/>
    <w:rsid w:val="18147343"/>
    <w:rsid w:val="185C746D"/>
    <w:rsid w:val="18703972"/>
    <w:rsid w:val="187D3822"/>
    <w:rsid w:val="18F935EA"/>
    <w:rsid w:val="19A6190E"/>
    <w:rsid w:val="19FB166E"/>
    <w:rsid w:val="1A5A2AD5"/>
    <w:rsid w:val="1A5B3E2B"/>
    <w:rsid w:val="1A9005C8"/>
    <w:rsid w:val="1C040935"/>
    <w:rsid w:val="1E6C706C"/>
    <w:rsid w:val="1F620264"/>
    <w:rsid w:val="1FBA3072"/>
    <w:rsid w:val="235B5D1B"/>
    <w:rsid w:val="2402765D"/>
    <w:rsid w:val="24835C77"/>
    <w:rsid w:val="255B3548"/>
    <w:rsid w:val="25CA3AF3"/>
    <w:rsid w:val="25EF5B9C"/>
    <w:rsid w:val="26696E8C"/>
    <w:rsid w:val="28140655"/>
    <w:rsid w:val="28AE2F68"/>
    <w:rsid w:val="2A1B5BCA"/>
    <w:rsid w:val="2AE2145F"/>
    <w:rsid w:val="2C004223"/>
    <w:rsid w:val="2F436B98"/>
    <w:rsid w:val="301165C8"/>
    <w:rsid w:val="30150096"/>
    <w:rsid w:val="3116422C"/>
    <w:rsid w:val="34AE03CC"/>
    <w:rsid w:val="34F155CD"/>
    <w:rsid w:val="387E2C99"/>
    <w:rsid w:val="3A471EFF"/>
    <w:rsid w:val="3A7B499F"/>
    <w:rsid w:val="3AA60F6F"/>
    <w:rsid w:val="3BA373F5"/>
    <w:rsid w:val="3CB55858"/>
    <w:rsid w:val="412C210F"/>
    <w:rsid w:val="42AF01B5"/>
    <w:rsid w:val="42B323E6"/>
    <w:rsid w:val="42EE2E9D"/>
    <w:rsid w:val="43953F89"/>
    <w:rsid w:val="446B165D"/>
    <w:rsid w:val="44A97DEE"/>
    <w:rsid w:val="46043547"/>
    <w:rsid w:val="46C24188"/>
    <w:rsid w:val="471E227C"/>
    <w:rsid w:val="48F70A20"/>
    <w:rsid w:val="4D810E7F"/>
    <w:rsid w:val="4E4603C7"/>
    <w:rsid w:val="4EEB156B"/>
    <w:rsid w:val="4FE0026F"/>
    <w:rsid w:val="4FFC658C"/>
    <w:rsid w:val="50253506"/>
    <w:rsid w:val="52186A4E"/>
    <w:rsid w:val="571F2625"/>
    <w:rsid w:val="580C61C6"/>
    <w:rsid w:val="591B4BB2"/>
    <w:rsid w:val="598E50E7"/>
    <w:rsid w:val="5A4A3A23"/>
    <w:rsid w:val="5A5E0536"/>
    <w:rsid w:val="5B593B8E"/>
    <w:rsid w:val="5C8A3690"/>
    <w:rsid w:val="5E963B08"/>
    <w:rsid w:val="5F212F19"/>
    <w:rsid w:val="5FBF595E"/>
    <w:rsid w:val="6077797C"/>
    <w:rsid w:val="623A150A"/>
    <w:rsid w:val="62400E28"/>
    <w:rsid w:val="62843AE0"/>
    <w:rsid w:val="62D44B14"/>
    <w:rsid w:val="63321820"/>
    <w:rsid w:val="641B2E4B"/>
    <w:rsid w:val="65587972"/>
    <w:rsid w:val="657122F0"/>
    <w:rsid w:val="65BB0538"/>
    <w:rsid w:val="66DF637C"/>
    <w:rsid w:val="6873665C"/>
    <w:rsid w:val="68C33B4A"/>
    <w:rsid w:val="6B8C5DD7"/>
    <w:rsid w:val="6BC4434D"/>
    <w:rsid w:val="6C6A0D9A"/>
    <w:rsid w:val="6F65586E"/>
    <w:rsid w:val="6F6E3138"/>
    <w:rsid w:val="70C36A17"/>
    <w:rsid w:val="70ED2D1B"/>
    <w:rsid w:val="713B55CA"/>
    <w:rsid w:val="72213060"/>
    <w:rsid w:val="742E3EA0"/>
    <w:rsid w:val="75123727"/>
    <w:rsid w:val="767D63C8"/>
    <w:rsid w:val="77ED1E77"/>
    <w:rsid w:val="780E0D67"/>
    <w:rsid w:val="798B0FE9"/>
    <w:rsid w:val="79C94243"/>
    <w:rsid w:val="7A0338D1"/>
    <w:rsid w:val="7A2B6CF1"/>
    <w:rsid w:val="7B9D05F5"/>
    <w:rsid w:val="7D976DE3"/>
    <w:rsid w:val="7DBE1134"/>
    <w:rsid w:val="7E785E5F"/>
    <w:rsid w:val="7F061AE9"/>
    <w:rsid w:val="7F3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99" w:name="table of authorities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link w:val="16"/>
    <w:qFormat/>
    <w:uiPriority w:val="99"/>
    <w:pPr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2">
    <w:name w:val="heading 3"/>
    <w:basedOn w:val="3"/>
    <w:next w:val="3"/>
    <w:link w:val="17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semiHidden/>
    <w:qFormat/>
    <w:uiPriority w:val="99"/>
    <w:pPr>
      <w:ind w:left="200" w:leftChars="200"/>
    </w:pPr>
  </w:style>
  <w:style w:type="paragraph" w:styleId="5">
    <w:name w:val="footer"/>
    <w:basedOn w:val="1"/>
    <w:link w:val="21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10">
    <w:name w:val="FollowedHyperlink"/>
    <w:basedOn w:val="9"/>
    <w:qFormat/>
    <w:uiPriority w:val="99"/>
    <w:rPr>
      <w:rFonts w:cs="Times New Roman"/>
      <w:color w:val="auto"/>
      <w:u w:val="none"/>
    </w:rPr>
  </w:style>
  <w:style w:type="character" w:styleId="11">
    <w:name w:val="Emphasis"/>
    <w:basedOn w:val="9"/>
    <w:qFormat/>
    <w:uiPriority w:val="99"/>
    <w:rPr>
      <w:rFonts w:cs="Times New Roman"/>
    </w:rPr>
  </w:style>
  <w:style w:type="character" w:styleId="12">
    <w:name w:val="HTML Definition"/>
    <w:basedOn w:val="9"/>
    <w:qFormat/>
    <w:uiPriority w:val="99"/>
    <w:rPr>
      <w:rFonts w:cs="Times New Roman"/>
    </w:rPr>
  </w:style>
  <w:style w:type="character" w:styleId="13">
    <w:name w:val="HTML Variable"/>
    <w:basedOn w:val="9"/>
    <w:qFormat/>
    <w:uiPriority w:val="99"/>
    <w:rPr>
      <w:rFonts w:cs="Times New Roman"/>
    </w:rPr>
  </w:style>
  <w:style w:type="character" w:styleId="14">
    <w:name w:val="Hyperlink"/>
    <w:basedOn w:val="9"/>
    <w:qFormat/>
    <w:uiPriority w:val="99"/>
    <w:rPr>
      <w:rFonts w:cs="Times New Roman"/>
      <w:color w:val="auto"/>
      <w:u w:val="none"/>
    </w:rPr>
  </w:style>
  <w:style w:type="character" w:styleId="15">
    <w:name w:val="HTML Cite"/>
    <w:basedOn w:val="9"/>
    <w:qFormat/>
    <w:uiPriority w:val="99"/>
    <w:rPr>
      <w:rFonts w:cs="Times New Roman"/>
    </w:rPr>
  </w:style>
  <w:style w:type="character" w:customStyle="1" w:styleId="16">
    <w:name w:val="Heading 2 Char"/>
    <w:basedOn w:val="9"/>
    <w:link w:val="4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7">
    <w:name w:val="Heading 3 Char"/>
    <w:basedOn w:val="9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8">
    <w:name w:val="tag"/>
    <w:basedOn w:val="9"/>
    <w:qFormat/>
    <w:uiPriority w:val="99"/>
    <w:rPr>
      <w:rFonts w:cs="Times New Roman"/>
    </w:rPr>
  </w:style>
  <w:style w:type="paragraph" w:customStyle="1" w:styleId="19">
    <w:name w:val="info"/>
    <w:basedOn w:val="1"/>
    <w:qFormat/>
    <w:uiPriority w:val="99"/>
    <w:pPr>
      <w:pBdr>
        <w:bottom w:val="dashed" w:color="CCCCCC" w:sz="6" w:space="0"/>
      </w:pBdr>
      <w:spacing w:line="600" w:lineRule="atLeast"/>
      <w:ind w:left="300" w:right="300"/>
      <w:jc w:val="center"/>
    </w:pPr>
    <w:rPr>
      <w:kern w:val="0"/>
    </w:rPr>
  </w:style>
  <w:style w:type="character" w:customStyle="1" w:styleId="20">
    <w:name w:val="Header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1">
    <w:name w:val="Footer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427</Words>
  <Characters>2438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2019-07-17T08:50:00Z</dcterms:created>
  <dc:creator>Administrator</dc:creator>
  <cp:lastModifiedBy>dell</cp:lastModifiedBy>
  <cp:lastPrinted>2019-09-03T09:24:00Z</cp:lastPrinted>
  <dcterms:modified xsi:type="dcterms:W3CDTF">2019-09-05T02:05:06Z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